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14B3B" w14:textId="77777777" w:rsidR="006D5B65" w:rsidRDefault="006D5B65" w:rsidP="006D5B65">
      <w:pPr>
        <w:autoSpaceDE w:val="0"/>
        <w:autoSpaceDN w:val="0"/>
        <w:adjustRightInd w:val="0"/>
        <w:jc w:val="right"/>
        <w:rPr>
          <w:rFonts w:asciiTheme="minorHAnsi" w:hAnsiTheme="minorHAnsi" w:cstheme="minorHAnsi"/>
          <w:color w:val="000000"/>
        </w:rPr>
      </w:pPr>
      <w:r>
        <w:rPr>
          <w:rFonts w:asciiTheme="minorHAnsi" w:hAnsiTheme="minorHAnsi" w:cstheme="minorHAnsi"/>
          <w:color w:val="000000"/>
        </w:rPr>
        <w:t>Tel. información 968362000/12</w:t>
      </w:r>
    </w:p>
    <w:p w14:paraId="2F65809B" w14:textId="1C8FF61F" w:rsidR="006D5B65" w:rsidRPr="006D5B65" w:rsidRDefault="006D5B65" w:rsidP="006D5B65">
      <w:pPr>
        <w:pStyle w:val="NormalWeb"/>
        <w:spacing w:before="0" w:beforeAutospacing="0" w:after="0" w:afterAutospacing="0" w:line="360" w:lineRule="exact"/>
        <w:ind w:left="7080" w:firstLine="708"/>
        <w:jc w:val="center"/>
        <w:rPr>
          <w:b/>
          <w:bCs/>
          <w:color w:val="000000"/>
          <w:sz w:val="20"/>
          <w:szCs w:val="20"/>
        </w:rPr>
      </w:pPr>
      <w:r w:rsidRPr="006D5B65">
        <w:rPr>
          <w:rFonts w:asciiTheme="minorHAnsi" w:hAnsiTheme="minorHAnsi" w:cstheme="minorHAnsi"/>
          <w:color w:val="000000"/>
          <w:sz w:val="20"/>
          <w:szCs w:val="20"/>
        </w:rPr>
        <w:t>P-3414</w:t>
      </w:r>
    </w:p>
    <w:p w14:paraId="0591C384" w14:textId="77777777" w:rsidR="00562206" w:rsidRPr="004C7538" w:rsidRDefault="00562206" w:rsidP="00562206">
      <w:pPr>
        <w:pStyle w:val="NormalWeb"/>
        <w:spacing w:before="0" w:beforeAutospacing="0" w:after="0" w:afterAutospacing="0" w:line="360" w:lineRule="exact"/>
        <w:jc w:val="center"/>
        <w:rPr>
          <w:rStyle w:val="Textoennegrita"/>
          <w:rFonts w:asciiTheme="minorHAnsi" w:hAnsiTheme="minorHAnsi" w:cstheme="minorHAnsi"/>
          <w:sz w:val="22"/>
          <w:szCs w:val="22"/>
        </w:rPr>
      </w:pPr>
      <w:r w:rsidRPr="004C7538">
        <w:rPr>
          <w:rStyle w:val="Textoennegrita"/>
          <w:rFonts w:asciiTheme="minorHAnsi" w:hAnsiTheme="minorHAnsi" w:cstheme="minorHAnsi"/>
          <w:sz w:val="22"/>
          <w:szCs w:val="22"/>
        </w:rPr>
        <w:t>ANEXO V – CLÁUSULA DE ADHESIÓN AL CÓDIGO DE CONDUCTA EN MATERIA DE SUBVENCIONES DE LA REGIÓN DE MURCIA.</w:t>
      </w:r>
    </w:p>
    <w:p w14:paraId="44066550" w14:textId="77777777" w:rsidR="00562206" w:rsidRPr="004C7538" w:rsidRDefault="00562206" w:rsidP="00562206"/>
    <w:p w14:paraId="4469770B" w14:textId="77777777" w:rsidR="00562206" w:rsidRPr="004C7538" w:rsidRDefault="00562206" w:rsidP="00562206">
      <w:pPr>
        <w:autoSpaceDE w:val="0"/>
        <w:autoSpaceDN w:val="0"/>
        <w:adjustRightInd w:val="0"/>
        <w:jc w:val="center"/>
        <w:rPr>
          <w:rFonts w:asciiTheme="majorHAnsi" w:eastAsiaTheme="minorEastAsia" w:hAnsiTheme="majorHAnsi" w:cstheme="majorHAnsi"/>
          <w:b/>
          <w:lang w:eastAsia="en-US"/>
        </w:rPr>
      </w:pPr>
    </w:p>
    <w:tbl>
      <w:tblPr>
        <w:tblW w:w="84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667"/>
        <w:gridCol w:w="2262"/>
      </w:tblGrid>
      <w:tr w:rsidR="004C7538" w:rsidRPr="004C7538" w14:paraId="0FBBDD7E" w14:textId="77777777" w:rsidTr="00A76D67">
        <w:tc>
          <w:tcPr>
            <w:tcW w:w="6232" w:type="dxa"/>
            <w:gridSpan w:val="2"/>
            <w:tcBorders>
              <w:top w:val="single" w:sz="12" w:space="0" w:color="auto"/>
              <w:left w:val="single" w:sz="4" w:space="0" w:color="auto"/>
              <w:bottom w:val="single" w:sz="4" w:space="0" w:color="auto"/>
              <w:right w:val="single" w:sz="4" w:space="0" w:color="auto"/>
            </w:tcBorders>
            <w:hideMark/>
          </w:tcPr>
          <w:p w14:paraId="1D08B7B1" w14:textId="77777777" w:rsidR="00562206" w:rsidRPr="004C7538" w:rsidRDefault="00562206" w:rsidP="00A76D67">
            <w:pPr>
              <w:autoSpaceDE w:val="0"/>
              <w:autoSpaceDN w:val="0"/>
              <w:adjustRightInd w:val="0"/>
              <w:spacing w:line="360" w:lineRule="auto"/>
              <w:jc w:val="both"/>
              <w:rPr>
                <w:rFonts w:ascii="Calibri" w:hAnsi="Calibri" w:cs="Calibri"/>
                <w:sz w:val="22"/>
                <w:szCs w:val="22"/>
                <w:lang w:eastAsia="en-US"/>
              </w:rPr>
            </w:pPr>
            <w:r w:rsidRPr="004C7538">
              <w:rPr>
                <w:rFonts w:ascii="Calibri" w:hAnsi="Calibri" w:cs="Calibri"/>
                <w:sz w:val="22"/>
                <w:szCs w:val="22"/>
                <w:lang w:eastAsia="en-US"/>
              </w:rPr>
              <w:t>D/Dña.</w:t>
            </w:r>
          </w:p>
        </w:tc>
        <w:tc>
          <w:tcPr>
            <w:tcW w:w="2262" w:type="dxa"/>
            <w:tcBorders>
              <w:top w:val="single" w:sz="12" w:space="0" w:color="auto"/>
              <w:left w:val="single" w:sz="4" w:space="0" w:color="auto"/>
              <w:bottom w:val="single" w:sz="4" w:space="0" w:color="auto"/>
              <w:right w:val="single" w:sz="4" w:space="0" w:color="auto"/>
            </w:tcBorders>
            <w:hideMark/>
          </w:tcPr>
          <w:p w14:paraId="727BBAD8" w14:textId="77777777" w:rsidR="00562206" w:rsidRPr="004C7538" w:rsidRDefault="00562206" w:rsidP="00A76D67">
            <w:pPr>
              <w:autoSpaceDE w:val="0"/>
              <w:autoSpaceDN w:val="0"/>
              <w:adjustRightInd w:val="0"/>
              <w:spacing w:line="360" w:lineRule="auto"/>
              <w:jc w:val="both"/>
              <w:rPr>
                <w:rFonts w:ascii="Calibri" w:hAnsi="Calibri" w:cs="Calibri"/>
                <w:sz w:val="22"/>
                <w:szCs w:val="22"/>
                <w:lang w:eastAsia="en-US"/>
              </w:rPr>
            </w:pPr>
            <w:r w:rsidRPr="004C7538">
              <w:rPr>
                <w:rFonts w:ascii="Calibri" w:hAnsi="Calibri" w:cs="Calibri"/>
                <w:sz w:val="22"/>
                <w:szCs w:val="22"/>
                <w:lang w:eastAsia="en-US"/>
              </w:rPr>
              <w:t>N.I.F.:</w:t>
            </w:r>
          </w:p>
        </w:tc>
      </w:tr>
      <w:tr w:rsidR="004C7538" w:rsidRPr="004C7538" w14:paraId="17007BC9" w14:textId="77777777" w:rsidTr="00A76D67">
        <w:tc>
          <w:tcPr>
            <w:tcW w:w="8494" w:type="dxa"/>
            <w:gridSpan w:val="3"/>
            <w:tcBorders>
              <w:top w:val="single" w:sz="4" w:space="0" w:color="auto"/>
              <w:left w:val="single" w:sz="4" w:space="0" w:color="auto"/>
              <w:bottom w:val="single" w:sz="4" w:space="0" w:color="auto"/>
              <w:right w:val="single" w:sz="4" w:space="0" w:color="auto"/>
            </w:tcBorders>
            <w:hideMark/>
          </w:tcPr>
          <w:p w14:paraId="352CE957" w14:textId="77777777" w:rsidR="00562206" w:rsidRPr="004C7538" w:rsidRDefault="00562206" w:rsidP="00A76D67">
            <w:pPr>
              <w:autoSpaceDE w:val="0"/>
              <w:autoSpaceDN w:val="0"/>
              <w:adjustRightInd w:val="0"/>
              <w:spacing w:line="360" w:lineRule="auto"/>
              <w:jc w:val="both"/>
              <w:rPr>
                <w:rFonts w:ascii="Calibri" w:hAnsi="Calibri" w:cs="Calibri"/>
                <w:sz w:val="22"/>
                <w:szCs w:val="22"/>
                <w:lang w:eastAsia="en-US"/>
              </w:rPr>
            </w:pPr>
            <w:r w:rsidRPr="004C7538">
              <w:rPr>
                <w:rFonts w:ascii="Calibri" w:hAnsi="Calibri" w:cs="Calibri"/>
                <w:sz w:val="22"/>
                <w:szCs w:val="22"/>
                <w:lang w:eastAsia="en-US"/>
              </w:rPr>
              <w:t>Representante legal del club o entidad:</w:t>
            </w:r>
          </w:p>
        </w:tc>
      </w:tr>
      <w:tr w:rsidR="004C7538" w:rsidRPr="004C7538" w14:paraId="048DF0DD" w14:textId="77777777" w:rsidTr="00A76D67">
        <w:tc>
          <w:tcPr>
            <w:tcW w:w="8494" w:type="dxa"/>
            <w:gridSpan w:val="3"/>
            <w:tcBorders>
              <w:top w:val="single" w:sz="4" w:space="0" w:color="auto"/>
              <w:left w:val="single" w:sz="4" w:space="0" w:color="auto"/>
              <w:bottom w:val="single" w:sz="4" w:space="0" w:color="auto"/>
              <w:right w:val="single" w:sz="4" w:space="0" w:color="auto"/>
            </w:tcBorders>
            <w:hideMark/>
          </w:tcPr>
          <w:p w14:paraId="089984F2" w14:textId="77777777" w:rsidR="00562206" w:rsidRPr="004C7538" w:rsidRDefault="00562206" w:rsidP="00A76D67">
            <w:pPr>
              <w:autoSpaceDE w:val="0"/>
              <w:autoSpaceDN w:val="0"/>
              <w:adjustRightInd w:val="0"/>
              <w:spacing w:line="360" w:lineRule="auto"/>
              <w:jc w:val="both"/>
              <w:rPr>
                <w:rFonts w:ascii="Calibri" w:hAnsi="Calibri" w:cs="Calibri"/>
                <w:sz w:val="22"/>
                <w:szCs w:val="22"/>
                <w:lang w:eastAsia="en-US"/>
              </w:rPr>
            </w:pPr>
            <w:r w:rsidRPr="004C7538">
              <w:rPr>
                <w:rFonts w:ascii="Calibri" w:hAnsi="Calibri" w:cs="Calibri"/>
                <w:sz w:val="22"/>
                <w:szCs w:val="22"/>
                <w:lang w:eastAsia="en-US"/>
              </w:rPr>
              <w:t>C.I.F.</w:t>
            </w:r>
          </w:p>
        </w:tc>
      </w:tr>
      <w:tr w:rsidR="004C7538" w:rsidRPr="004C7538" w14:paraId="35BB6469" w14:textId="77777777" w:rsidTr="00A76D67">
        <w:tc>
          <w:tcPr>
            <w:tcW w:w="8494" w:type="dxa"/>
            <w:gridSpan w:val="3"/>
            <w:tcBorders>
              <w:top w:val="single" w:sz="4" w:space="0" w:color="auto"/>
              <w:left w:val="single" w:sz="4" w:space="0" w:color="auto"/>
              <w:bottom w:val="single" w:sz="4" w:space="0" w:color="auto"/>
              <w:right w:val="single" w:sz="4" w:space="0" w:color="auto"/>
            </w:tcBorders>
            <w:hideMark/>
          </w:tcPr>
          <w:p w14:paraId="545E038F" w14:textId="77777777" w:rsidR="00562206" w:rsidRPr="004C7538" w:rsidRDefault="00562206" w:rsidP="00A76D67">
            <w:pPr>
              <w:autoSpaceDE w:val="0"/>
              <w:autoSpaceDN w:val="0"/>
              <w:adjustRightInd w:val="0"/>
              <w:spacing w:line="360" w:lineRule="auto"/>
              <w:jc w:val="both"/>
              <w:rPr>
                <w:rFonts w:ascii="Calibri" w:hAnsi="Calibri" w:cs="Calibri"/>
                <w:sz w:val="22"/>
                <w:szCs w:val="22"/>
                <w:lang w:eastAsia="en-US"/>
              </w:rPr>
            </w:pPr>
            <w:r w:rsidRPr="004C7538">
              <w:rPr>
                <w:rFonts w:ascii="Calibri" w:hAnsi="Calibri" w:cs="Calibri"/>
                <w:sz w:val="22"/>
                <w:szCs w:val="22"/>
                <w:lang w:eastAsia="en-US"/>
              </w:rPr>
              <w:t>Dirección postal:</w:t>
            </w:r>
          </w:p>
        </w:tc>
      </w:tr>
      <w:tr w:rsidR="004C7538" w:rsidRPr="004C7538" w14:paraId="54BD64C1" w14:textId="77777777" w:rsidTr="00A76D67">
        <w:tc>
          <w:tcPr>
            <w:tcW w:w="4565" w:type="dxa"/>
            <w:tcBorders>
              <w:top w:val="single" w:sz="4" w:space="0" w:color="auto"/>
              <w:left w:val="single" w:sz="4" w:space="0" w:color="auto"/>
              <w:bottom w:val="single" w:sz="12" w:space="0" w:color="auto"/>
              <w:right w:val="single" w:sz="4" w:space="0" w:color="auto"/>
            </w:tcBorders>
            <w:hideMark/>
          </w:tcPr>
          <w:p w14:paraId="7107D35A" w14:textId="77777777" w:rsidR="00562206" w:rsidRPr="004C7538" w:rsidRDefault="00562206" w:rsidP="00A76D67">
            <w:pPr>
              <w:autoSpaceDE w:val="0"/>
              <w:autoSpaceDN w:val="0"/>
              <w:adjustRightInd w:val="0"/>
              <w:spacing w:line="360" w:lineRule="auto"/>
              <w:jc w:val="both"/>
              <w:rPr>
                <w:rFonts w:ascii="Calibri" w:hAnsi="Calibri" w:cs="Calibri"/>
                <w:sz w:val="22"/>
                <w:szCs w:val="22"/>
                <w:lang w:eastAsia="en-US"/>
              </w:rPr>
            </w:pPr>
            <w:r w:rsidRPr="004C7538">
              <w:rPr>
                <w:rFonts w:ascii="Calibri" w:hAnsi="Calibri" w:cs="Calibri"/>
                <w:sz w:val="22"/>
                <w:szCs w:val="22"/>
                <w:lang w:eastAsia="en-US"/>
              </w:rPr>
              <w:t>Localidad:</w:t>
            </w:r>
          </w:p>
        </w:tc>
        <w:tc>
          <w:tcPr>
            <w:tcW w:w="3929" w:type="dxa"/>
            <w:gridSpan w:val="2"/>
            <w:tcBorders>
              <w:top w:val="single" w:sz="4" w:space="0" w:color="auto"/>
              <w:left w:val="single" w:sz="4" w:space="0" w:color="auto"/>
              <w:bottom w:val="single" w:sz="12" w:space="0" w:color="auto"/>
              <w:right w:val="single" w:sz="4" w:space="0" w:color="auto"/>
            </w:tcBorders>
            <w:hideMark/>
          </w:tcPr>
          <w:p w14:paraId="54442146" w14:textId="77777777" w:rsidR="00562206" w:rsidRPr="004C7538" w:rsidRDefault="00562206" w:rsidP="00A76D67">
            <w:pPr>
              <w:autoSpaceDE w:val="0"/>
              <w:autoSpaceDN w:val="0"/>
              <w:adjustRightInd w:val="0"/>
              <w:spacing w:line="360" w:lineRule="auto"/>
              <w:jc w:val="both"/>
              <w:rPr>
                <w:rFonts w:ascii="Calibri" w:hAnsi="Calibri" w:cs="Calibri"/>
                <w:sz w:val="22"/>
                <w:szCs w:val="22"/>
                <w:lang w:eastAsia="en-US"/>
              </w:rPr>
            </w:pPr>
            <w:r w:rsidRPr="004C7538">
              <w:rPr>
                <w:rFonts w:ascii="Calibri" w:hAnsi="Calibri" w:cs="Calibri"/>
                <w:sz w:val="22"/>
                <w:szCs w:val="22"/>
                <w:lang w:eastAsia="en-US"/>
              </w:rPr>
              <w:t>Código postal:</w:t>
            </w:r>
          </w:p>
        </w:tc>
      </w:tr>
      <w:tr w:rsidR="004C7538" w:rsidRPr="004C7538" w14:paraId="6E29B58E" w14:textId="77777777" w:rsidTr="00A76D67">
        <w:tc>
          <w:tcPr>
            <w:tcW w:w="8494" w:type="dxa"/>
            <w:gridSpan w:val="3"/>
            <w:tcBorders>
              <w:top w:val="single" w:sz="12" w:space="0" w:color="auto"/>
              <w:left w:val="single" w:sz="4" w:space="0" w:color="auto"/>
              <w:bottom w:val="single" w:sz="4" w:space="0" w:color="auto"/>
              <w:right w:val="single" w:sz="4" w:space="0" w:color="auto"/>
            </w:tcBorders>
            <w:shd w:val="clear" w:color="auto" w:fill="FFFFFF" w:themeFill="background1"/>
          </w:tcPr>
          <w:p w14:paraId="00CF104A" w14:textId="6C237A98" w:rsidR="00562206" w:rsidRPr="004C7538" w:rsidRDefault="00562206" w:rsidP="006D5B65">
            <w:pPr>
              <w:autoSpaceDE w:val="0"/>
              <w:autoSpaceDN w:val="0"/>
              <w:adjustRightInd w:val="0"/>
              <w:spacing w:line="276" w:lineRule="auto"/>
              <w:jc w:val="both"/>
              <w:rPr>
                <w:rFonts w:asciiTheme="minorHAnsi" w:hAnsiTheme="minorHAnsi" w:cstheme="minorHAnsi"/>
                <w:sz w:val="24"/>
                <w:szCs w:val="24"/>
              </w:rPr>
            </w:pPr>
            <w:r w:rsidRPr="004C7538">
              <w:rPr>
                <w:rFonts w:asciiTheme="minorHAnsi" w:hAnsiTheme="minorHAnsi" w:cstheme="minorHAnsi"/>
                <w:sz w:val="24"/>
                <w:szCs w:val="24"/>
              </w:rPr>
              <w:t>a efectos de la obtención de ayudas a otorgar por la Consejería de Presidencia, Turismo, Cul</w:t>
            </w:r>
            <w:bookmarkStart w:id="0" w:name="_GoBack"/>
            <w:bookmarkEnd w:id="0"/>
            <w:r w:rsidRPr="004C7538">
              <w:rPr>
                <w:rFonts w:asciiTheme="minorHAnsi" w:hAnsiTheme="minorHAnsi" w:cstheme="minorHAnsi"/>
                <w:sz w:val="24"/>
                <w:szCs w:val="24"/>
              </w:rPr>
              <w:t xml:space="preserve">tura, Juventud, Deportes y </w:t>
            </w:r>
            <w:proofErr w:type="spellStart"/>
            <w:r w:rsidRPr="004C7538">
              <w:rPr>
                <w:rFonts w:asciiTheme="minorHAnsi" w:hAnsiTheme="minorHAnsi" w:cstheme="minorHAnsi"/>
                <w:sz w:val="24"/>
                <w:szCs w:val="24"/>
              </w:rPr>
              <w:t>Portavocía</w:t>
            </w:r>
            <w:proofErr w:type="spellEnd"/>
            <w:r w:rsidRPr="004C7538">
              <w:rPr>
                <w:rFonts w:asciiTheme="minorHAnsi" w:hAnsiTheme="minorHAnsi" w:cstheme="minorHAnsi"/>
                <w:sz w:val="24"/>
                <w:szCs w:val="24"/>
              </w:rPr>
              <w:t xml:space="preserve">, a las federaciones deportivas olímpicas de la Región de Murcia para el desarrollo y ejecución </w:t>
            </w:r>
            <w:r w:rsidRPr="004C7538">
              <w:rPr>
                <w:rFonts w:asciiTheme="minorHAnsi" w:eastAsiaTheme="minorHAnsi" w:hAnsiTheme="minorHAnsi" w:cstheme="minorHAnsi"/>
                <w:sz w:val="24"/>
                <w:szCs w:val="24"/>
                <w:lang w:eastAsia="en-US"/>
              </w:rPr>
              <w:t xml:space="preserve">del programa de tecnificación “Talento </w:t>
            </w:r>
            <w:r w:rsidR="00995667" w:rsidRPr="004C7538">
              <w:rPr>
                <w:rFonts w:asciiTheme="minorHAnsi" w:eastAsiaTheme="minorHAnsi" w:hAnsiTheme="minorHAnsi" w:cstheme="minorHAnsi"/>
                <w:sz w:val="24"/>
                <w:szCs w:val="24"/>
                <w:lang w:eastAsia="en-US"/>
              </w:rPr>
              <w:t>Deportivo</w:t>
            </w:r>
            <w:r w:rsidRPr="004C7538">
              <w:rPr>
                <w:rFonts w:asciiTheme="minorHAnsi" w:eastAsiaTheme="minorHAnsi" w:hAnsiTheme="minorHAnsi" w:cstheme="minorHAnsi"/>
                <w:sz w:val="24"/>
                <w:szCs w:val="24"/>
                <w:lang w:eastAsia="en-US"/>
              </w:rPr>
              <w:t xml:space="preserve">” </w:t>
            </w:r>
            <w:r w:rsidRPr="004C7538">
              <w:rPr>
                <w:rFonts w:asciiTheme="minorHAnsi" w:hAnsiTheme="minorHAnsi" w:cstheme="minorHAnsi"/>
                <w:sz w:val="24"/>
                <w:szCs w:val="24"/>
              </w:rPr>
              <w:t xml:space="preserve">de modalidades o especialidades olímpicas y/o paralímpicas durante la temporada 2023/2024, ASUMO el compromiso de cumplimiento del apartado VI del CÓDIGO DE CONDUCTA EN MATERIA DE SUBVENCIONES Y AYUDAS PÚBLICAS DE LA REGIÓN DE MURCIA, aprobado por Acuerdo de Consejo de Gobierno de fecha 29 de diciembre de 2021. </w:t>
            </w:r>
          </w:p>
          <w:p w14:paraId="22B0A7FF" w14:textId="77777777" w:rsidR="00562206" w:rsidRPr="004C7538" w:rsidRDefault="00562206" w:rsidP="006D5B65">
            <w:pPr>
              <w:autoSpaceDE w:val="0"/>
              <w:autoSpaceDN w:val="0"/>
              <w:adjustRightInd w:val="0"/>
              <w:spacing w:line="276" w:lineRule="auto"/>
              <w:jc w:val="both"/>
              <w:rPr>
                <w:rFonts w:ascii="Calibri" w:hAnsi="Calibri" w:cs="Calibri"/>
                <w:b/>
                <w:sz w:val="22"/>
                <w:szCs w:val="22"/>
                <w:lang w:eastAsia="en-US"/>
              </w:rPr>
            </w:pPr>
          </w:p>
        </w:tc>
      </w:tr>
    </w:tbl>
    <w:p w14:paraId="5126FEB6" w14:textId="77777777" w:rsidR="00562206" w:rsidRPr="004C7538" w:rsidRDefault="00562206" w:rsidP="00562206">
      <w:pPr>
        <w:autoSpaceDE w:val="0"/>
        <w:autoSpaceDN w:val="0"/>
        <w:adjustRightInd w:val="0"/>
        <w:spacing w:line="360" w:lineRule="auto"/>
        <w:jc w:val="center"/>
        <w:rPr>
          <w:rFonts w:ascii="Calibri" w:hAnsi="Calibri" w:cs="Calibri"/>
        </w:rPr>
      </w:pPr>
      <w:r w:rsidRPr="004C7538">
        <w:rPr>
          <w:rFonts w:ascii="Calibri" w:hAnsi="Calibri" w:cs="Calibri"/>
        </w:rPr>
        <w:t xml:space="preserve">Firma </w:t>
      </w:r>
    </w:p>
    <w:p w14:paraId="60066069" w14:textId="77777777" w:rsidR="00562206" w:rsidRPr="004C7538" w:rsidRDefault="00562206" w:rsidP="00562206">
      <w:pPr>
        <w:autoSpaceDE w:val="0"/>
        <w:autoSpaceDN w:val="0"/>
        <w:adjustRightInd w:val="0"/>
        <w:spacing w:line="360" w:lineRule="auto"/>
        <w:jc w:val="center"/>
        <w:rPr>
          <w:rFonts w:ascii="Arial" w:hAnsi="Arial" w:cs="Arial"/>
          <w:sz w:val="16"/>
          <w:szCs w:val="16"/>
        </w:rPr>
      </w:pPr>
      <w:r w:rsidRPr="004C7538">
        <w:rPr>
          <w:rFonts w:ascii="Arial" w:hAnsi="Arial" w:cs="Arial"/>
          <w:sz w:val="16"/>
          <w:szCs w:val="16"/>
        </w:rPr>
        <w:t xml:space="preserve">Solo puede utilizar la firma electrónica. </w:t>
      </w:r>
    </w:p>
    <w:p w14:paraId="6FAD833E" w14:textId="77777777" w:rsidR="00562206" w:rsidRPr="004C7538" w:rsidRDefault="00562206" w:rsidP="00562206">
      <w:pPr>
        <w:autoSpaceDE w:val="0"/>
        <w:autoSpaceDN w:val="0"/>
        <w:adjustRightInd w:val="0"/>
        <w:spacing w:line="360" w:lineRule="auto"/>
        <w:jc w:val="center"/>
        <w:rPr>
          <w:rFonts w:ascii="Arial" w:hAnsi="Arial" w:cs="Arial"/>
          <w:sz w:val="16"/>
          <w:szCs w:val="16"/>
        </w:rPr>
      </w:pPr>
      <w:r w:rsidRPr="004C7538">
        <w:rPr>
          <w:rFonts w:ascii="Arial" w:hAnsi="Arial" w:cs="Arial"/>
          <w:sz w:val="16"/>
          <w:szCs w:val="16"/>
        </w:rPr>
        <w:t>(Artículo 14 Ley 39/2015, de 1 de octubre, del Procedimiento Administrativo Común)</w:t>
      </w:r>
      <w:r w:rsidRPr="004C7538">
        <w:rPr>
          <w:rStyle w:val="Refdenotaalpie"/>
          <w:rFonts w:ascii="Arial" w:hAnsi="Arial" w:cs="Arial"/>
          <w:sz w:val="16"/>
          <w:szCs w:val="16"/>
        </w:rPr>
        <w:footnoteReference w:id="1"/>
      </w:r>
    </w:p>
    <w:p w14:paraId="6E90DF53" w14:textId="77777777" w:rsidR="00562206" w:rsidRPr="004C7538" w:rsidRDefault="00562206" w:rsidP="00562206">
      <w:pPr>
        <w:autoSpaceDE w:val="0"/>
        <w:autoSpaceDN w:val="0"/>
        <w:adjustRightInd w:val="0"/>
        <w:jc w:val="center"/>
        <w:rPr>
          <w:rFonts w:asciiTheme="minorHAnsi" w:hAnsiTheme="minorHAnsi" w:cstheme="minorHAnsi"/>
          <w:sz w:val="22"/>
          <w:szCs w:val="22"/>
        </w:rPr>
      </w:pPr>
    </w:p>
    <w:p w14:paraId="46D47275" w14:textId="77777777" w:rsidR="00562206" w:rsidRPr="004C7538" w:rsidRDefault="00562206" w:rsidP="00562206">
      <w:pPr>
        <w:autoSpaceDE w:val="0"/>
        <w:autoSpaceDN w:val="0"/>
        <w:adjustRightInd w:val="0"/>
        <w:jc w:val="center"/>
        <w:rPr>
          <w:rFonts w:asciiTheme="minorHAnsi" w:hAnsiTheme="minorHAnsi" w:cstheme="minorHAnsi"/>
          <w:sz w:val="22"/>
          <w:szCs w:val="22"/>
        </w:rPr>
      </w:pPr>
    </w:p>
    <w:p w14:paraId="5F37BD5B" w14:textId="77777777" w:rsidR="00562206" w:rsidRPr="004C7538" w:rsidRDefault="00562206" w:rsidP="00562206">
      <w:pPr>
        <w:autoSpaceDE w:val="0"/>
        <w:autoSpaceDN w:val="0"/>
        <w:adjustRightInd w:val="0"/>
        <w:jc w:val="center"/>
        <w:rPr>
          <w:rFonts w:asciiTheme="majorHAnsi" w:eastAsiaTheme="minorEastAsia" w:hAnsiTheme="majorHAnsi" w:cstheme="majorHAnsi"/>
          <w:sz w:val="22"/>
          <w:szCs w:val="22"/>
          <w:lang w:eastAsia="en-US"/>
        </w:rPr>
      </w:pPr>
    </w:p>
    <w:p w14:paraId="78683781" w14:textId="77777777" w:rsidR="00562206" w:rsidRPr="004C7538" w:rsidRDefault="00562206" w:rsidP="00562206">
      <w:pPr>
        <w:autoSpaceDE w:val="0"/>
        <w:autoSpaceDN w:val="0"/>
        <w:adjustRightInd w:val="0"/>
        <w:jc w:val="center"/>
        <w:rPr>
          <w:rFonts w:asciiTheme="majorHAnsi" w:eastAsiaTheme="minorEastAsia" w:hAnsiTheme="majorHAnsi" w:cstheme="majorHAnsi"/>
          <w:sz w:val="22"/>
          <w:szCs w:val="22"/>
          <w:lang w:eastAsia="en-US"/>
        </w:rPr>
      </w:pPr>
    </w:p>
    <w:p w14:paraId="51263BD6" w14:textId="77777777" w:rsidR="00562206" w:rsidRPr="004C7538" w:rsidRDefault="00562206" w:rsidP="00562206">
      <w:pPr>
        <w:autoSpaceDE w:val="0"/>
        <w:autoSpaceDN w:val="0"/>
        <w:adjustRightInd w:val="0"/>
        <w:jc w:val="center"/>
        <w:rPr>
          <w:rFonts w:asciiTheme="majorHAnsi" w:eastAsiaTheme="minorEastAsia" w:hAnsiTheme="majorHAnsi" w:cstheme="majorHAnsi"/>
          <w:sz w:val="22"/>
          <w:szCs w:val="22"/>
          <w:lang w:eastAsia="en-US"/>
        </w:rPr>
      </w:pPr>
    </w:p>
    <w:p w14:paraId="42D250D7" w14:textId="77777777" w:rsidR="00562206" w:rsidRPr="004C7538" w:rsidRDefault="00562206" w:rsidP="00562206">
      <w:pPr>
        <w:rPr>
          <w:rFonts w:asciiTheme="majorHAnsi" w:eastAsiaTheme="minorEastAsia" w:hAnsiTheme="majorHAnsi" w:cstheme="majorHAnsi"/>
          <w:b/>
          <w:bCs/>
          <w:caps/>
          <w:sz w:val="22"/>
          <w:szCs w:val="22"/>
          <w:lang w:eastAsia="en-US"/>
        </w:rPr>
      </w:pPr>
      <w:r w:rsidRPr="004C7538">
        <w:rPr>
          <w:rFonts w:asciiTheme="majorHAnsi" w:eastAsiaTheme="minorEastAsia" w:hAnsiTheme="majorHAnsi" w:cstheme="majorHAnsi"/>
          <w:b/>
          <w:bCs/>
          <w:caps/>
          <w:sz w:val="22"/>
          <w:szCs w:val="22"/>
          <w:lang w:eastAsia="en-US"/>
        </w:rPr>
        <w:t>ExcmO. Sr. Consejero de presidencia, turismo, CULTURA, JUVENTUD, deportes Y PORTAVOCÍA</w:t>
      </w:r>
    </w:p>
    <w:p w14:paraId="1974289E" w14:textId="77777777" w:rsidR="00562206" w:rsidRPr="004C7538" w:rsidRDefault="00562206" w:rsidP="00562206">
      <w:pPr>
        <w:rPr>
          <w:rFonts w:asciiTheme="majorHAnsi" w:eastAsiaTheme="minorEastAsia" w:hAnsiTheme="majorHAnsi" w:cstheme="majorHAnsi"/>
          <w:b/>
          <w:bCs/>
          <w:caps/>
          <w:sz w:val="22"/>
          <w:szCs w:val="22"/>
          <w:lang w:eastAsia="en-US"/>
        </w:rPr>
      </w:pPr>
      <w:r w:rsidRPr="004C7538">
        <w:rPr>
          <w:rFonts w:asciiTheme="majorHAnsi" w:eastAsiaTheme="minorEastAsia" w:hAnsiTheme="majorHAnsi" w:cstheme="majorHAnsi"/>
          <w:b/>
          <w:bCs/>
          <w:caps/>
          <w:sz w:val="22"/>
          <w:szCs w:val="22"/>
          <w:lang w:eastAsia="en-US"/>
        </w:rPr>
        <w:t>comunidad autónoma de la región de murcia</w:t>
      </w:r>
    </w:p>
    <w:p w14:paraId="1846E714" w14:textId="77777777" w:rsidR="00562206" w:rsidRPr="004C7538" w:rsidRDefault="00562206" w:rsidP="00562206">
      <w:pPr>
        <w:jc w:val="both"/>
        <w:rPr>
          <w:rStyle w:val="Textoennegrita"/>
          <w:rFonts w:asciiTheme="majorHAnsi" w:hAnsiTheme="majorHAnsi" w:cstheme="majorHAnsi"/>
        </w:rPr>
      </w:pPr>
      <w:r w:rsidRPr="004C7538">
        <w:rPr>
          <w:rStyle w:val="Textoennegrita"/>
          <w:rFonts w:asciiTheme="majorHAnsi" w:hAnsiTheme="majorHAnsi" w:cstheme="majorHAnsi"/>
        </w:rPr>
        <w:lastRenderedPageBreak/>
        <w:t>INFORMACIÓN SOBRE EL APARTADO VI DEL CÓDIGO DE CONDUCTA EN MATERIA DE SUBVENCIONES Y AYUDAS PÚBLICAS DE LA REGIÓN DE MURCIA. (Acuerdo de Consejo de Gobierno de fecha 29 de diciembre de 2021)</w:t>
      </w:r>
    </w:p>
    <w:p w14:paraId="731BAE26" w14:textId="77777777" w:rsidR="00562206" w:rsidRPr="004C7538" w:rsidRDefault="00562206" w:rsidP="00562206">
      <w:pPr>
        <w:jc w:val="both"/>
        <w:rPr>
          <w:rStyle w:val="Textoennegrita"/>
          <w:rFonts w:asciiTheme="majorHAnsi" w:hAnsiTheme="majorHAnsi" w:cstheme="majorHAnsi"/>
        </w:rPr>
      </w:pPr>
    </w:p>
    <w:p w14:paraId="07F4D760" w14:textId="77777777" w:rsidR="00562206" w:rsidRPr="004C7538" w:rsidRDefault="00562206" w:rsidP="00562206">
      <w:pPr>
        <w:jc w:val="both"/>
        <w:rPr>
          <w:rStyle w:val="Textoennegrita"/>
          <w:rFonts w:asciiTheme="majorHAnsi" w:hAnsiTheme="majorHAnsi" w:cstheme="majorHAnsi"/>
        </w:rPr>
      </w:pPr>
      <w:r w:rsidRPr="004C7538">
        <w:rPr>
          <w:rStyle w:val="Textoennegrita"/>
          <w:rFonts w:asciiTheme="majorHAnsi" w:hAnsiTheme="majorHAnsi" w:cstheme="majorHAnsi"/>
        </w:rPr>
        <w:t>PRINCIPIOS Y NORMAS DE CONDUCTA EXTERNAS</w:t>
      </w:r>
    </w:p>
    <w:p w14:paraId="56F7432F" w14:textId="77777777" w:rsidR="00562206" w:rsidRPr="004C7538" w:rsidRDefault="00562206" w:rsidP="00562206">
      <w:pPr>
        <w:rPr>
          <w:rStyle w:val="Textoennegrita"/>
          <w:b w:val="0"/>
          <w:bCs w:val="0"/>
          <w:sz w:val="12"/>
        </w:rPr>
      </w:pPr>
    </w:p>
    <w:p w14:paraId="66D93C96"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Los beneficiarios de las ayudas y subvenciones públicas concedidas por la Administración de la Comunidad Autónoma de la Región de Murcia (CARM) y cualquier persona -física o jurídica- o entidad sin personalidad jurídica que desee participar en un procedimiento de concesión de ayudas o subvenciones públicas, sea de concurrencia competitiva o de concesión directa, tramitado por la Administración Pública de la CARM, deberán asumir el compromiso de cumplimiento de las reglas de carácter ético que se plasman en este apartado. La asunción del citado compromiso se reflejará en las correspondientes bases reguladoras de la subvención o ayuda y se realizará, según proceda:</w:t>
      </w:r>
    </w:p>
    <w:p w14:paraId="36F63084"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 En los procedimientos de concurrencia competitiva, en la propia solicitud normalizada de participación, mediante la inclusión de una cláusula de adhesión al presente código, pudiéndose utilizar el modelo que figura en el apartado 3 del anexo.</w:t>
      </w:r>
    </w:p>
    <w:p w14:paraId="1DB0129E"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 En los procedimientos de concesión directa en los se utilice el convenio para canalizar la correspondiente subvención, mediante la inclusión en este de una cláusula de adhesión al presente código, pudiéndose utilizar el modelo que figura en el apartado 4 del anexo.</w:t>
      </w:r>
    </w:p>
    <w:p w14:paraId="06C70900"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 En los procedimientos de concesión directa en los se utilice la resolución como instrumento de concesión de la subvención, mediante la firma de un compromiso expreso de adhesión al presente código con carácter previo a la emisión de dicha resolución, pudiéndose utilizar el modelo que figura en el apartado 5 del anexo.</w:t>
      </w:r>
    </w:p>
    <w:p w14:paraId="1CB0F10F"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De la misma forma, las bases reguladoras de las subvenciones contendrán como anexo el presente código de conducta, para asegurar su conocimiento por los interesados.</w:t>
      </w:r>
    </w:p>
    <w:p w14:paraId="4B1C9ECC"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Los participantes en procedimientos de concesión de ayudas y subvenciones públicas y los beneficiarios de estas se comprometen a respetar, además de la normativa vigente en la materia que nos ocupa, las siguientes reglas:</w:t>
      </w:r>
    </w:p>
    <w:p w14:paraId="2404C37D"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1. No efectuarán modificaciones en la ejecución de la actividad subvencionada sin conocimiento ni aprobación expresa del órgano gestor, salvo lo que al respecto permitan y establezcan las bases reguladoras.</w:t>
      </w:r>
    </w:p>
    <w:p w14:paraId="65CC61E8"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2. No tratarán de influir en las decisiones de los órganos de evaluación ni de los órganos concedentes de ayudas y subvenciones, ni ejercerán ningún tipo de presión sobre ellos, directa o indirectamente, respetando en todo momento su actitud de neutralidad en el proceso.</w:t>
      </w:r>
    </w:p>
    <w:p w14:paraId="6CD4F6C4"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3. Se abstendrán de ofrecer regalos, dádivas, ofrecimientos o promesas a los altos cargos o al personal interviniente en cualquier fase del procedimiento de planificación, concesión, gestión, fiscalización y control de ayudas y subvenciones públicas.</w:t>
      </w:r>
    </w:p>
    <w:p w14:paraId="410BB636"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4. Se abstendrán de influir en el régimen de prelación de pagos.</w:t>
      </w:r>
    </w:p>
    <w:p w14:paraId="795A1CF1"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5. Se cuidará de que los fondos recibidos se inviertan de forma eficiente en la ejecución del proyecto o actividad subvencionada, evitando su despilfarro y optimizando su uso.</w:t>
      </w:r>
    </w:p>
    <w:p w14:paraId="111535E6"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6. Cumplirán con los principios, las normas y los cánones éticos propios de las tareas, los oficios y/o las profesiones correspondientes a las actividades objeto de subvención, actuando en todo momento con imparcialidad, de buena fe y con arreglo al código deontológico de su profesión o gremio.</w:t>
      </w:r>
    </w:p>
    <w:p w14:paraId="75C1850E"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7. No falsearán, en ningún caso, los datos, la información o la documentación facilitada a la Administración Regional en los procedimientos de gestión, control o fiscalización de ayudas y subvenciones públicas, garantizando, en todo momento, la aportación de información veraz, completa, relevante y actualizada.</w:t>
      </w:r>
    </w:p>
    <w:p w14:paraId="1C1A5563"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8. No obstaculizarán las actuaciones de comprobación que se efectúen por los órganos competentes, mostrando en todo momento una actitud plenamente colaboradora.</w:t>
      </w:r>
    </w:p>
    <w:p w14:paraId="394A6EA3"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9. Los beneficiarios se responsabilizarán de que los subcontratistas con los que concierten la ejecución total o parcial de la actividad subvencionada, cuando ello esté permitido, se sujeten a los mismos principios y reglas de conductas enumerados en el presente código, debiendo informarles de su contenido.</w:t>
      </w:r>
    </w:p>
    <w:p w14:paraId="77833B7A" w14:textId="77777777" w:rsidR="00562206"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10. Comunicarán inmediatamente al órgano competente las posibles situaciones de conflicto de intereses que puedan darse en altos cargos, directivos o empleados públicos de la Administración Pública Regional intervinientes en procedimientos de concesión, control o reintegro de subvenciones, y evitarán exponerlos a situaciones que puedan generar tales conflictos.</w:t>
      </w:r>
    </w:p>
    <w:p w14:paraId="68BAA87C" w14:textId="1EC79F85" w:rsidR="00A76D67" w:rsidRPr="004C7538" w:rsidRDefault="00562206" w:rsidP="00562206">
      <w:pPr>
        <w:spacing w:after="120"/>
        <w:jc w:val="both"/>
        <w:rPr>
          <w:rFonts w:asciiTheme="majorHAnsi" w:hAnsiTheme="majorHAnsi" w:cstheme="majorHAnsi"/>
          <w:sz w:val="16"/>
        </w:rPr>
      </w:pPr>
      <w:r w:rsidRPr="004C7538">
        <w:rPr>
          <w:rFonts w:asciiTheme="majorHAnsi" w:hAnsiTheme="majorHAnsi" w:cstheme="majorHAnsi"/>
          <w:sz w:val="16"/>
        </w:rPr>
        <w:t>11. Los beneficiarios respetarán el carácter confidencial de la información a la que tengan acceso con ocasión de la ejecución de las actividades o proyectos subvencionados, respecto de la que guardarán secreto profesional, y no utilizarán dicha información confidencial para obtener, directa o indirectamente, una ventaja o beneficio de cualquier tipo en interés propio ni en el de terceras personas.</w:t>
      </w:r>
    </w:p>
    <w:sectPr w:rsidR="00A76D67" w:rsidRPr="004C7538" w:rsidSect="00244494">
      <w:head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05DD4" w14:textId="77777777" w:rsidR="00A47257" w:rsidRDefault="00A47257" w:rsidP="0033118A">
      <w:r>
        <w:separator/>
      </w:r>
    </w:p>
  </w:endnote>
  <w:endnote w:type="continuationSeparator" w:id="0">
    <w:p w14:paraId="394A1BCB" w14:textId="77777777" w:rsidR="00A47257" w:rsidRDefault="00A47257"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E9000" w14:textId="77777777" w:rsidR="00A47257" w:rsidRDefault="00A47257" w:rsidP="0033118A">
      <w:r>
        <w:separator/>
      </w:r>
    </w:p>
  </w:footnote>
  <w:footnote w:type="continuationSeparator" w:id="0">
    <w:p w14:paraId="4D2EDC0A" w14:textId="77777777" w:rsidR="00A47257" w:rsidRDefault="00A47257" w:rsidP="0033118A">
      <w:r>
        <w:continuationSeparator/>
      </w:r>
    </w:p>
  </w:footnote>
  <w:footnote w:id="1">
    <w:p w14:paraId="707E7D33" w14:textId="77777777" w:rsidR="00AD7CEA" w:rsidRDefault="00AD7CEA" w:rsidP="00562206">
      <w:pPr>
        <w:pStyle w:val="Default"/>
        <w:rPr>
          <w:rFonts w:eastAsia="Arial Unicode MS"/>
          <w:sz w:val="16"/>
          <w:szCs w:val="16"/>
          <w:lang w:eastAsia="en-US"/>
        </w:rPr>
      </w:pPr>
      <w:r>
        <w:rPr>
          <w:rStyle w:val="Refdenotaalpie"/>
        </w:rPr>
        <w:footnoteRef/>
      </w:r>
      <w:r>
        <w:t xml:space="preserve"> </w:t>
      </w:r>
      <w:r>
        <w:rPr>
          <w:rFonts w:eastAsia="Arial Unicode MS"/>
          <w:sz w:val="16"/>
          <w:szCs w:val="16"/>
          <w:lang w:eastAsia="en-US"/>
        </w:rPr>
        <w:t>“2. En todo caso, estarán obligados a relacionarse a través de medios electrónicos con las Administraciones Públicas para la realización de cualquier trámite de un procedimiento administrativo, al menos, los siguientes sujetos:</w:t>
      </w:r>
    </w:p>
    <w:p w14:paraId="3F961393" w14:textId="77777777" w:rsidR="00AD7CEA" w:rsidRDefault="00AD7CEA" w:rsidP="00562206">
      <w:pPr>
        <w:autoSpaceDE w:val="0"/>
        <w:autoSpaceDN w:val="0"/>
        <w:adjustRightInd w:val="0"/>
        <w:jc w:val="both"/>
        <w:rPr>
          <w:rFonts w:ascii="Arial" w:eastAsia="Arial Unicode MS" w:hAnsi="Arial" w:cs="Arial"/>
          <w:color w:val="000000"/>
          <w:sz w:val="16"/>
          <w:szCs w:val="16"/>
          <w:lang w:eastAsia="en-US"/>
        </w:rPr>
      </w:pPr>
      <w:r>
        <w:rPr>
          <w:rFonts w:ascii="Arial" w:eastAsia="Arial Unicode MS" w:hAnsi="Arial" w:cs="Arial"/>
          <w:color w:val="000000"/>
          <w:sz w:val="16"/>
          <w:szCs w:val="16"/>
          <w:lang w:eastAsia="en-US"/>
        </w:rPr>
        <w:t>a) Las personas jurídicas.</w:t>
      </w:r>
    </w:p>
    <w:p w14:paraId="7B79C697" w14:textId="77777777" w:rsidR="00AD7CEA" w:rsidRDefault="00AD7CEA" w:rsidP="00562206">
      <w:pPr>
        <w:autoSpaceDE w:val="0"/>
        <w:autoSpaceDN w:val="0"/>
        <w:adjustRightInd w:val="0"/>
        <w:jc w:val="both"/>
        <w:rPr>
          <w:rFonts w:ascii="Arial" w:eastAsia="Arial Unicode MS" w:hAnsi="Arial" w:cs="Arial"/>
          <w:color w:val="000000"/>
          <w:sz w:val="16"/>
          <w:szCs w:val="16"/>
          <w:lang w:eastAsia="en-US"/>
        </w:rPr>
      </w:pPr>
      <w:r>
        <w:rPr>
          <w:rFonts w:ascii="Arial" w:eastAsia="Arial Unicode MS" w:hAnsi="Arial" w:cs="Arial"/>
          <w:color w:val="000000"/>
          <w:sz w:val="16"/>
          <w:szCs w:val="16"/>
          <w:lang w:eastAsia="en-US"/>
        </w:rPr>
        <w:t>b) Las entidades sin personalidad jurídica.</w:t>
      </w:r>
    </w:p>
    <w:p w14:paraId="09C4870B" w14:textId="77777777" w:rsidR="00AD7CEA" w:rsidRDefault="00AD7CEA" w:rsidP="00562206">
      <w:pPr>
        <w:autoSpaceDE w:val="0"/>
        <w:autoSpaceDN w:val="0"/>
        <w:adjustRightInd w:val="0"/>
        <w:jc w:val="both"/>
        <w:rPr>
          <w:rFonts w:ascii="Arial" w:eastAsia="Arial Unicode MS" w:hAnsi="Arial" w:cs="Arial"/>
          <w:color w:val="000000"/>
          <w:sz w:val="16"/>
          <w:szCs w:val="16"/>
          <w:lang w:eastAsia="en-US"/>
        </w:rPr>
      </w:pPr>
      <w:r>
        <w:rPr>
          <w:rFonts w:ascii="Arial" w:eastAsia="Arial Unicode MS" w:hAnsi="Arial" w:cs="Arial"/>
          <w:color w:val="000000"/>
          <w:sz w:val="16"/>
          <w:szCs w:val="16"/>
          <w:lang w:eastAsia="en-US"/>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14:paraId="537D71F5" w14:textId="77777777" w:rsidR="00AD7CEA" w:rsidRDefault="00AD7CEA" w:rsidP="00562206">
      <w:pPr>
        <w:autoSpaceDE w:val="0"/>
        <w:autoSpaceDN w:val="0"/>
        <w:adjustRightInd w:val="0"/>
        <w:jc w:val="both"/>
        <w:rPr>
          <w:rFonts w:ascii="Arial" w:eastAsia="Arial Unicode MS" w:hAnsi="Arial" w:cs="Arial"/>
          <w:color w:val="000000"/>
          <w:sz w:val="16"/>
          <w:szCs w:val="16"/>
          <w:lang w:eastAsia="en-US"/>
        </w:rPr>
      </w:pPr>
      <w:r>
        <w:rPr>
          <w:rFonts w:ascii="Arial" w:eastAsia="Arial Unicode MS" w:hAnsi="Arial" w:cs="Arial"/>
          <w:color w:val="000000"/>
          <w:sz w:val="16"/>
          <w:szCs w:val="16"/>
          <w:lang w:eastAsia="en-US"/>
        </w:rPr>
        <w:t>d) Quienes representen a un interesado que esté obligado a relacionarse electrónicamente con la Administración.</w:t>
      </w:r>
    </w:p>
    <w:p w14:paraId="0E89B05B" w14:textId="77777777" w:rsidR="00AD7CEA" w:rsidRDefault="00AD7CEA" w:rsidP="00562206">
      <w:pPr>
        <w:pStyle w:val="Textonotapie"/>
        <w:jc w:val="both"/>
      </w:pPr>
      <w:r>
        <w:rPr>
          <w:rFonts w:ascii="Arial" w:eastAsia="Arial Unicode MS" w:hAnsi="Arial" w:cs="Arial"/>
          <w:color w:val="000000"/>
          <w:sz w:val="16"/>
          <w:szCs w:val="16"/>
          <w:lang w:eastAsia="en-US"/>
        </w:rPr>
        <w:t>e) Los empleados de las Administraciones Públicas para los trámites y actuaciones que realicen con ellas por razón de su condición de empleado público, en la forma en que se determine reglamentariamente por cada Administración.”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AD7CEA" w14:paraId="34E6473D" w14:textId="77777777" w:rsidTr="00244494">
      <w:trPr>
        <w:cantSplit/>
        <w:trHeight w:hRule="exact" w:val="2608"/>
      </w:trPr>
      <w:tc>
        <w:tcPr>
          <w:tcW w:w="11906" w:type="dxa"/>
          <w:noWrap/>
        </w:tcPr>
        <w:p w14:paraId="19E658B8" w14:textId="77777777" w:rsidR="00AD7CEA" w:rsidRDefault="00AD7CEA" w:rsidP="00244494">
          <w:pPr>
            <w:pStyle w:val="Encabezado"/>
            <w:jc w:val="center"/>
          </w:pPr>
          <w:r>
            <w:rPr>
              <w:noProof/>
            </w:rPr>
            <w:drawing>
              <wp:inline distT="0" distB="0" distL="0" distR="0" wp14:anchorId="2B645605" wp14:editId="4344C513">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14:paraId="0147B213" w14:textId="77777777" w:rsidR="00AD7CEA" w:rsidRPr="005271AF" w:rsidRDefault="00AD7CE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29C3"/>
    <w:multiLevelType w:val="hybridMultilevel"/>
    <w:tmpl w:val="8254337C"/>
    <w:lvl w:ilvl="0" w:tplc="0CA68904">
      <w:start w:val="1"/>
      <w:numFmt w:val="lowerLetter"/>
      <w:lvlText w:val="%1)"/>
      <w:lvlJc w:val="left"/>
      <w:pPr>
        <w:ind w:left="928" w:hanging="360"/>
      </w:pPr>
      <w:rPr>
        <w:i w:val="0"/>
        <w:iCs w:val="0"/>
      </w:rPr>
    </w:lvl>
    <w:lvl w:ilvl="1" w:tplc="0C0A0019">
      <w:start w:val="1"/>
      <w:numFmt w:val="lowerLetter"/>
      <w:lvlText w:val="%2."/>
      <w:lvlJc w:val="left"/>
      <w:pPr>
        <w:ind w:left="1902" w:hanging="360"/>
      </w:pPr>
    </w:lvl>
    <w:lvl w:ilvl="2" w:tplc="0C0A001B">
      <w:start w:val="1"/>
      <w:numFmt w:val="lowerRoman"/>
      <w:lvlText w:val="%3."/>
      <w:lvlJc w:val="right"/>
      <w:pPr>
        <w:ind w:left="2622" w:hanging="180"/>
      </w:pPr>
    </w:lvl>
    <w:lvl w:ilvl="3" w:tplc="0C0A000F">
      <w:start w:val="1"/>
      <w:numFmt w:val="decimal"/>
      <w:lvlText w:val="%4."/>
      <w:lvlJc w:val="left"/>
      <w:pPr>
        <w:ind w:left="3342" w:hanging="360"/>
      </w:pPr>
    </w:lvl>
    <w:lvl w:ilvl="4" w:tplc="0C0A0019">
      <w:start w:val="1"/>
      <w:numFmt w:val="lowerLetter"/>
      <w:lvlText w:val="%5."/>
      <w:lvlJc w:val="left"/>
      <w:pPr>
        <w:ind w:left="4062" w:hanging="360"/>
      </w:pPr>
    </w:lvl>
    <w:lvl w:ilvl="5" w:tplc="0C0A001B">
      <w:start w:val="1"/>
      <w:numFmt w:val="lowerRoman"/>
      <w:lvlText w:val="%6."/>
      <w:lvlJc w:val="right"/>
      <w:pPr>
        <w:ind w:left="4782" w:hanging="180"/>
      </w:pPr>
    </w:lvl>
    <w:lvl w:ilvl="6" w:tplc="0C0A000F">
      <w:start w:val="1"/>
      <w:numFmt w:val="decimal"/>
      <w:lvlText w:val="%7."/>
      <w:lvlJc w:val="left"/>
      <w:pPr>
        <w:ind w:left="5502" w:hanging="360"/>
      </w:pPr>
    </w:lvl>
    <w:lvl w:ilvl="7" w:tplc="0C0A0019">
      <w:start w:val="1"/>
      <w:numFmt w:val="lowerLetter"/>
      <w:lvlText w:val="%8."/>
      <w:lvlJc w:val="left"/>
      <w:pPr>
        <w:ind w:left="6222" w:hanging="360"/>
      </w:pPr>
    </w:lvl>
    <w:lvl w:ilvl="8" w:tplc="0C0A001B">
      <w:start w:val="1"/>
      <w:numFmt w:val="lowerRoman"/>
      <w:lvlText w:val="%9."/>
      <w:lvlJc w:val="right"/>
      <w:pPr>
        <w:ind w:left="6942" w:hanging="180"/>
      </w:pPr>
    </w:lvl>
  </w:abstractNum>
  <w:abstractNum w:abstractNumId="1" w15:restartNumberingAfterBreak="0">
    <w:nsid w:val="11A6485B"/>
    <w:multiLevelType w:val="hybridMultilevel"/>
    <w:tmpl w:val="3726F4EE"/>
    <w:lvl w:ilvl="0" w:tplc="51E059B0">
      <w:start w:val="50"/>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AC7C28"/>
    <w:multiLevelType w:val="hybridMultilevel"/>
    <w:tmpl w:val="1912486C"/>
    <w:lvl w:ilvl="0" w:tplc="999429F6">
      <w:start w:val="1"/>
      <w:numFmt w:val="bullet"/>
      <w:lvlText w:val="-"/>
      <w:lvlJc w:val="left"/>
      <w:pPr>
        <w:ind w:left="1542" w:hanging="360"/>
      </w:pPr>
      <w:rPr>
        <w:rFonts w:ascii="Arial" w:eastAsia="Times New Roman" w:hAnsi="Arial" w:cs="Arial" w:hint="default"/>
      </w:rPr>
    </w:lvl>
    <w:lvl w:ilvl="1" w:tplc="0C0A0003">
      <w:start w:val="1"/>
      <w:numFmt w:val="bullet"/>
      <w:lvlText w:val="o"/>
      <w:lvlJc w:val="left"/>
      <w:pPr>
        <w:ind w:left="2262" w:hanging="360"/>
      </w:pPr>
      <w:rPr>
        <w:rFonts w:ascii="Courier New" w:hAnsi="Courier New" w:cs="Courier New" w:hint="default"/>
      </w:rPr>
    </w:lvl>
    <w:lvl w:ilvl="2" w:tplc="0C0A0005">
      <w:start w:val="1"/>
      <w:numFmt w:val="bullet"/>
      <w:lvlText w:val=""/>
      <w:lvlJc w:val="left"/>
      <w:pPr>
        <w:ind w:left="2982" w:hanging="360"/>
      </w:pPr>
      <w:rPr>
        <w:rFonts w:ascii="Wingdings" w:hAnsi="Wingdings" w:hint="default"/>
      </w:rPr>
    </w:lvl>
    <w:lvl w:ilvl="3" w:tplc="0C0A0001">
      <w:start w:val="1"/>
      <w:numFmt w:val="bullet"/>
      <w:lvlText w:val=""/>
      <w:lvlJc w:val="left"/>
      <w:pPr>
        <w:ind w:left="3702" w:hanging="360"/>
      </w:pPr>
      <w:rPr>
        <w:rFonts w:ascii="Symbol" w:hAnsi="Symbol" w:hint="default"/>
      </w:rPr>
    </w:lvl>
    <w:lvl w:ilvl="4" w:tplc="0C0A0003">
      <w:start w:val="1"/>
      <w:numFmt w:val="bullet"/>
      <w:lvlText w:val="o"/>
      <w:lvlJc w:val="left"/>
      <w:pPr>
        <w:ind w:left="4422" w:hanging="360"/>
      </w:pPr>
      <w:rPr>
        <w:rFonts w:ascii="Courier New" w:hAnsi="Courier New" w:cs="Courier New" w:hint="default"/>
      </w:rPr>
    </w:lvl>
    <w:lvl w:ilvl="5" w:tplc="0C0A0005">
      <w:start w:val="1"/>
      <w:numFmt w:val="bullet"/>
      <w:lvlText w:val=""/>
      <w:lvlJc w:val="left"/>
      <w:pPr>
        <w:ind w:left="5142" w:hanging="360"/>
      </w:pPr>
      <w:rPr>
        <w:rFonts w:ascii="Wingdings" w:hAnsi="Wingdings" w:hint="default"/>
      </w:rPr>
    </w:lvl>
    <w:lvl w:ilvl="6" w:tplc="0C0A0001">
      <w:start w:val="1"/>
      <w:numFmt w:val="bullet"/>
      <w:lvlText w:val=""/>
      <w:lvlJc w:val="left"/>
      <w:pPr>
        <w:ind w:left="5862" w:hanging="360"/>
      </w:pPr>
      <w:rPr>
        <w:rFonts w:ascii="Symbol" w:hAnsi="Symbol" w:hint="default"/>
      </w:rPr>
    </w:lvl>
    <w:lvl w:ilvl="7" w:tplc="0C0A0003">
      <w:start w:val="1"/>
      <w:numFmt w:val="bullet"/>
      <w:lvlText w:val="o"/>
      <w:lvlJc w:val="left"/>
      <w:pPr>
        <w:ind w:left="6582" w:hanging="360"/>
      </w:pPr>
      <w:rPr>
        <w:rFonts w:ascii="Courier New" w:hAnsi="Courier New" w:cs="Courier New" w:hint="default"/>
      </w:rPr>
    </w:lvl>
    <w:lvl w:ilvl="8" w:tplc="0C0A0005">
      <w:start w:val="1"/>
      <w:numFmt w:val="bullet"/>
      <w:lvlText w:val=""/>
      <w:lvlJc w:val="left"/>
      <w:pPr>
        <w:ind w:left="7302" w:hanging="360"/>
      </w:pPr>
      <w:rPr>
        <w:rFonts w:ascii="Wingdings" w:hAnsi="Wingdings" w:hint="default"/>
      </w:rPr>
    </w:lvl>
  </w:abstractNum>
  <w:abstractNum w:abstractNumId="3"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853157E"/>
    <w:multiLevelType w:val="hybridMultilevel"/>
    <w:tmpl w:val="751041EE"/>
    <w:lvl w:ilvl="0" w:tplc="E1C259BC">
      <w:start w:val="1"/>
      <w:numFmt w:val="bullet"/>
      <w:lvlText w:val="-"/>
      <w:lvlJc w:val="left"/>
      <w:pPr>
        <w:tabs>
          <w:tab w:val="num" w:pos="284"/>
        </w:tabs>
        <w:ind w:left="284" w:hanging="284"/>
      </w:pPr>
      <w:rPr>
        <w:rFonts w:ascii="Times New Roman" w:eastAsia="Times New Roman" w:hAnsi="Times New Roman" w:cs="Times New Roman"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5" w15:restartNumberingAfterBreak="0">
    <w:nsid w:val="4ADE7039"/>
    <w:multiLevelType w:val="hybridMultilevel"/>
    <w:tmpl w:val="D70C7BCA"/>
    <w:lvl w:ilvl="0" w:tplc="E1C259BC">
      <w:start w:val="1"/>
      <w:numFmt w:val="bullet"/>
      <w:lvlText w:val="-"/>
      <w:lvlJc w:val="left"/>
      <w:pPr>
        <w:tabs>
          <w:tab w:val="num" w:pos="992"/>
        </w:tabs>
        <w:ind w:left="992" w:hanging="284"/>
      </w:pPr>
      <w:rPr>
        <w:rFonts w:ascii="Times New Roman" w:eastAsia="Times New Roman" w:hAnsi="Times New Roman" w:cs="Times New Roman" w:hint="default"/>
      </w:rPr>
    </w:lvl>
    <w:lvl w:ilvl="1" w:tplc="0C0A0003" w:tentative="1">
      <w:start w:val="1"/>
      <w:numFmt w:val="bullet"/>
      <w:lvlText w:val="o"/>
      <w:lvlJc w:val="left"/>
      <w:pPr>
        <w:ind w:left="1941" w:hanging="360"/>
      </w:pPr>
      <w:rPr>
        <w:rFonts w:ascii="Courier New" w:hAnsi="Courier New" w:cs="Courier New" w:hint="default"/>
      </w:rPr>
    </w:lvl>
    <w:lvl w:ilvl="2" w:tplc="0C0A0005" w:tentative="1">
      <w:start w:val="1"/>
      <w:numFmt w:val="bullet"/>
      <w:lvlText w:val=""/>
      <w:lvlJc w:val="left"/>
      <w:pPr>
        <w:ind w:left="2661" w:hanging="360"/>
      </w:pPr>
      <w:rPr>
        <w:rFonts w:ascii="Wingdings" w:hAnsi="Wingdings" w:hint="default"/>
      </w:rPr>
    </w:lvl>
    <w:lvl w:ilvl="3" w:tplc="0C0A0001" w:tentative="1">
      <w:start w:val="1"/>
      <w:numFmt w:val="bullet"/>
      <w:lvlText w:val=""/>
      <w:lvlJc w:val="left"/>
      <w:pPr>
        <w:ind w:left="3381" w:hanging="360"/>
      </w:pPr>
      <w:rPr>
        <w:rFonts w:ascii="Symbol" w:hAnsi="Symbol" w:hint="default"/>
      </w:rPr>
    </w:lvl>
    <w:lvl w:ilvl="4" w:tplc="0C0A0003" w:tentative="1">
      <w:start w:val="1"/>
      <w:numFmt w:val="bullet"/>
      <w:lvlText w:val="o"/>
      <w:lvlJc w:val="left"/>
      <w:pPr>
        <w:ind w:left="4101" w:hanging="360"/>
      </w:pPr>
      <w:rPr>
        <w:rFonts w:ascii="Courier New" w:hAnsi="Courier New" w:cs="Courier New" w:hint="default"/>
      </w:rPr>
    </w:lvl>
    <w:lvl w:ilvl="5" w:tplc="0C0A0005" w:tentative="1">
      <w:start w:val="1"/>
      <w:numFmt w:val="bullet"/>
      <w:lvlText w:val=""/>
      <w:lvlJc w:val="left"/>
      <w:pPr>
        <w:ind w:left="4821" w:hanging="360"/>
      </w:pPr>
      <w:rPr>
        <w:rFonts w:ascii="Wingdings" w:hAnsi="Wingdings" w:hint="default"/>
      </w:rPr>
    </w:lvl>
    <w:lvl w:ilvl="6" w:tplc="0C0A0001" w:tentative="1">
      <w:start w:val="1"/>
      <w:numFmt w:val="bullet"/>
      <w:lvlText w:val=""/>
      <w:lvlJc w:val="left"/>
      <w:pPr>
        <w:ind w:left="5541" w:hanging="360"/>
      </w:pPr>
      <w:rPr>
        <w:rFonts w:ascii="Symbol" w:hAnsi="Symbol" w:hint="default"/>
      </w:rPr>
    </w:lvl>
    <w:lvl w:ilvl="7" w:tplc="0C0A0003" w:tentative="1">
      <w:start w:val="1"/>
      <w:numFmt w:val="bullet"/>
      <w:lvlText w:val="o"/>
      <w:lvlJc w:val="left"/>
      <w:pPr>
        <w:ind w:left="6261" w:hanging="360"/>
      </w:pPr>
      <w:rPr>
        <w:rFonts w:ascii="Courier New" w:hAnsi="Courier New" w:cs="Courier New" w:hint="default"/>
      </w:rPr>
    </w:lvl>
    <w:lvl w:ilvl="8" w:tplc="0C0A0005" w:tentative="1">
      <w:start w:val="1"/>
      <w:numFmt w:val="bullet"/>
      <w:lvlText w:val=""/>
      <w:lvlJc w:val="left"/>
      <w:pPr>
        <w:ind w:left="6981" w:hanging="360"/>
      </w:pPr>
      <w:rPr>
        <w:rFonts w:ascii="Wingdings" w:hAnsi="Wingdings" w:hint="default"/>
      </w:rPr>
    </w:lvl>
  </w:abstractNum>
  <w:abstractNum w:abstractNumId="6" w15:restartNumberingAfterBreak="0">
    <w:nsid w:val="78AC22E2"/>
    <w:multiLevelType w:val="hybridMultilevel"/>
    <w:tmpl w:val="63647664"/>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1E"/>
    <w:rsid w:val="00027CEB"/>
    <w:rsid w:val="00047D79"/>
    <w:rsid w:val="00063307"/>
    <w:rsid w:val="000A15E7"/>
    <w:rsid w:val="000A6CBE"/>
    <w:rsid w:val="000B4103"/>
    <w:rsid w:val="000F557B"/>
    <w:rsid w:val="00105A8D"/>
    <w:rsid w:val="0013104E"/>
    <w:rsid w:val="001353E8"/>
    <w:rsid w:val="00146BDD"/>
    <w:rsid w:val="0015003A"/>
    <w:rsid w:val="0019746C"/>
    <w:rsid w:val="001F6198"/>
    <w:rsid w:val="0020548E"/>
    <w:rsid w:val="00205643"/>
    <w:rsid w:val="00215629"/>
    <w:rsid w:val="00225A6E"/>
    <w:rsid w:val="00235B81"/>
    <w:rsid w:val="00244494"/>
    <w:rsid w:val="00287E2F"/>
    <w:rsid w:val="002B0202"/>
    <w:rsid w:val="002C71E3"/>
    <w:rsid w:val="00300944"/>
    <w:rsid w:val="0033118A"/>
    <w:rsid w:val="00361A55"/>
    <w:rsid w:val="00363BB5"/>
    <w:rsid w:val="0039410D"/>
    <w:rsid w:val="003C26F0"/>
    <w:rsid w:val="003C6AE1"/>
    <w:rsid w:val="00416F89"/>
    <w:rsid w:val="00441A4F"/>
    <w:rsid w:val="004B79FE"/>
    <w:rsid w:val="004C7538"/>
    <w:rsid w:val="004E687E"/>
    <w:rsid w:val="004E7DEE"/>
    <w:rsid w:val="005271AF"/>
    <w:rsid w:val="00546BB5"/>
    <w:rsid w:val="00562206"/>
    <w:rsid w:val="005713FD"/>
    <w:rsid w:val="00575EB4"/>
    <w:rsid w:val="005B6A49"/>
    <w:rsid w:val="005E2F54"/>
    <w:rsid w:val="00672876"/>
    <w:rsid w:val="00681F44"/>
    <w:rsid w:val="006B02AD"/>
    <w:rsid w:val="006C361D"/>
    <w:rsid w:val="006D5B65"/>
    <w:rsid w:val="006E3224"/>
    <w:rsid w:val="00752411"/>
    <w:rsid w:val="00775F5F"/>
    <w:rsid w:val="00794597"/>
    <w:rsid w:val="007A379E"/>
    <w:rsid w:val="007E4858"/>
    <w:rsid w:val="00801F5E"/>
    <w:rsid w:val="00805E6D"/>
    <w:rsid w:val="00812BA9"/>
    <w:rsid w:val="00837966"/>
    <w:rsid w:val="00850DF0"/>
    <w:rsid w:val="008564F3"/>
    <w:rsid w:val="00887BF6"/>
    <w:rsid w:val="00887D48"/>
    <w:rsid w:val="008A794F"/>
    <w:rsid w:val="008B55BB"/>
    <w:rsid w:val="008E3810"/>
    <w:rsid w:val="008F752E"/>
    <w:rsid w:val="009603B4"/>
    <w:rsid w:val="00995667"/>
    <w:rsid w:val="009D2D6C"/>
    <w:rsid w:val="00A01ACF"/>
    <w:rsid w:val="00A441B7"/>
    <w:rsid w:val="00A47257"/>
    <w:rsid w:val="00A72A1E"/>
    <w:rsid w:val="00A76D67"/>
    <w:rsid w:val="00A927EB"/>
    <w:rsid w:val="00AC41C7"/>
    <w:rsid w:val="00AD7CEA"/>
    <w:rsid w:val="00AF433E"/>
    <w:rsid w:val="00B90AF3"/>
    <w:rsid w:val="00C1640B"/>
    <w:rsid w:val="00C35B4D"/>
    <w:rsid w:val="00C44004"/>
    <w:rsid w:val="00C97E48"/>
    <w:rsid w:val="00CC656F"/>
    <w:rsid w:val="00D0196C"/>
    <w:rsid w:val="00D05495"/>
    <w:rsid w:val="00D64254"/>
    <w:rsid w:val="00D9047B"/>
    <w:rsid w:val="00DC2825"/>
    <w:rsid w:val="00E13C32"/>
    <w:rsid w:val="00EB5FCF"/>
    <w:rsid w:val="00F217D2"/>
    <w:rsid w:val="00F57B54"/>
    <w:rsid w:val="00F64701"/>
    <w:rsid w:val="00F661B8"/>
    <w:rsid w:val="00FE1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77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20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562206"/>
    <w:rPr>
      <w:color w:val="0563C1"/>
      <w:u w:val="single"/>
    </w:rPr>
  </w:style>
  <w:style w:type="paragraph" w:styleId="NormalWeb">
    <w:name w:val="Normal (Web)"/>
    <w:basedOn w:val="Normal"/>
    <w:uiPriority w:val="99"/>
    <w:semiHidden/>
    <w:unhideWhenUsed/>
    <w:rsid w:val="00562206"/>
    <w:pPr>
      <w:spacing w:before="100" w:beforeAutospacing="1" w:after="100" w:afterAutospacing="1"/>
    </w:pPr>
    <w:rPr>
      <w:sz w:val="24"/>
      <w:szCs w:val="24"/>
    </w:rPr>
  </w:style>
  <w:style w:type="paragraph" w:styleId="Sangradetextonormal">
    <w:name w:val="Body Text Indent"/>
    <w:basedOn w:val="Normal"/>
    <w:link w:val="SangradetextonormalCar"/>
    <w:unhideWhenUsed/>
    <w:rsid w:val="00562206"/>
    <w:pPr>
      <w:spacing w:after="120"/>
      <w:ind w:left="283"/>
    </w:pPr>
  </w:style>
  <w:style w:type="character" w:customStyle="1" w:styleId="SangradetextonormalCar">
    <w:name w:val="Sangría de texto normal Car"/>
    <w:basedOn w:val="Fuentedeprrafopredeter"/>
    <w:link w:val="Sangradetextonormal"/>
    <w:rsid w:val="00562206"/>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562206"/>
    <w:pPr>
      <w:ind w:left="720"/>
      <w:contextualSpacing/>
    </w:pPr>
  </w:style>
  <w:style w:type="paragraph" w:customStyle="1" w:styleId="Fuentedeprrafopredet">
    <w:name w:val="Fuente de párrafo predet"/>
    <w:rsid w:val="00562206"/>
    <w:pPr>
      <w:spacing w:after="0" w:line="240" w:lineRule="auto"/>
    </w:pPr>
    <w:rPr>
      <w:rFonts w:ascii="CG Times" w:eastAsia="Times New Roman" w:hAnsi="CG Times" w:cs="Times New Roman"/>
      <w:sz w:val="20"/>
      <w:szCs w:val="20"/>
      <w:lang w:eastAsia="es-ES"/>
    </w:rPr>
  </w:style>
  <w:style w:type="paragraph" w:customStyle="1" w:styleId="Default">
    <w:name w:val="Default"/>
    <w:rsid w:val="00562206"/>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Textoennegrita">
    <w:name w:val="Strong"/>
    <w:basedOn w:val="Fuentedeprrafopredeter"/>
    <w:qFormat/>
    <w:rsid w:val="00562206"/>
    <w:rPr>
      <w:b/>
      <w:bCs/>
    </w:rPr>
  </w:style>
  <w:style w:type="paragraph" w:styleId="Textonotapie">
    <w:name w:val="footnote text"/>
    <w:basedOn w:val="Normal"/>
    <w:link w:val="TextonotapieCar"/>
    <w:uiPriority w:val="99"/>
    <w:semiHidden/>
    <w:unhideWhenUsed/>
    <w:rsid w:val="00562206"/>
  </w:style>
  <w:style w:type="character" w:customStyle="1" w:styleId="TextonotapieCar">
    <w:name w:val="Texto nota pie Car"/>
    <w:basedOn w:val="Fuentedeprrafopredeter"/>
    <w:link w:val="Textonotapie"/>
    <w:uiPriority w:val="99"/>
    <w:semiHidden/>
    <w:rsid w:val="0056220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62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48259">
      <w:bodyDiv w:val="1"/>
      <w:marLeft w:val="0"/>
      <w:marRight w:val="0"/>
      <w:marTop w:val="0"/>
      <w:marBottom w:val="0"/>
      <w:divBdr>
        <w:top w:val="none" w:sz="0" w:space="0" w:color="auto"/>
        <w:left w:val="none" w:sz="0" w:space="0" w:color="auto"/>
        <w:bottom w:val="none" w:sz="0" w:space="0" w:color="auto"/>
        <w:right w:val="none" w:sz="0" w:space="0" w:color="auto"/>
      </w:divBdr>
    </w:div>
    <w:div w:id="13351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g13x\AppData\Local\Temp\Temp1_114706-02%20Consejer&#237;a%20de%20Presidencia,%20Turismo,%20Cultura,%20Juventud,%20Deportes%20y%20Portavoc&#237;a%20(2).zip\02%20Consejer&#237;a%20de%20Presidencia,%20Turismo,%20Cultura,%20Juventud,%20Deportes%20y%20Portavoc&#237;a\CPTCJD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c9c8636-0486-4c9b-b75c-7b805ddaaf65"/>
    <ds:schemaRef ds:uri="bab14156-fcf3-44e2-9c4b-c33f1f92d414"/>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CPTCJDP.dotx</Template>
  <TotalTime>0</TotalTime>
  <Pages>2</Pages>
  <Words>932</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2023-07-17T15:31:00Z</dcterms:created>
  <dcterms:modified xsi:type="dcterms:W3CDTF">2023-07-17T15:35:00Z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